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161C" w14:textId="77777777" w:rsid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Новое в законодательстве о выплатах семьям с детьми</w:t>
      </w:r>
    </w:p>
    <w:p w14:paraId="683F2362" w14:textId="77777777" w:rsidR="00297F6A" w:rsidRP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6012C7ED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Правительством РФ принято постановление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Федерации», в соответствии с которым, доходы призванных по частичной мобилизации граждан не будут учитываться при оценке нуждаемости их семей для расчета положенных им мер социальной поддержки.</w:t>
      </w:r>
    </w:p>
    <w:p w14:paraId="4B8CB6F3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Выплаты денежных средств получают семьи, в которых среднедушевой доход меньше прожиточного минимума на человека в регионе.</w:t>
      </w:r>
    </w:p>
    <w:p w14:paraId="705358AC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Так, в настоящее время предусмотрены  пособия беременным женщинам, вставшим на учет в ранние сроки беременности, ежемесячные выплаты на детей от 3 до 7 лет включительно и от 8 до 17 лет, выплаты в связи с рождением (усыновлением) первого или второго ребенка, социальный контракт.</w:t>
      </w:r>
    </w:p>
    <w:p w14:paraId="487DBADD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 вышеуказанным постановлением Правительства РФ, при расчете нуждаемости семьи не учитываются прошлые доходы (зарплата, гонорары, предпринимательский доход); денежное довольствие, которое мобилизованные получают как военнослужащие.</w:t>
      </w:r>
    </w:p>
    <w:p w14:paraId="1A769E35" w14:textId="77777777" w:rsid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 мобилизованных граждан не распространяется правило нулевого дохода: если у отца не было дохода без объективных причин, а семья признана нуждающейся — пособие все равно будет назначено.</w:t>
      </w:r>
    </w:p>
    <w:p w14:paraId="710100A6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CA1D692" w14:textId="77777777" w:rsid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Вводится запрет на работу водителем такси, в отношении лиц, имеющих судимость за отдельные преступления</w:t>
      </w:r>
    </w:p>
    <w:p w14:paraId="0E8CA5BC" w14:textId="77777777" w:rsidR="00297F6A" w:rsidRP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95FF30F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Трудовой кодекс Российской Федерации дополнен статьей 328.1 –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багажа».</w:t>
      </w:r>
    </w:p>
    <w:p w14:paraId="30FC5F3E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Вышеуказанной нормой устанавливается запрет на осуществление лицами, имеющими непогашенную или неснятую в установленном законом порядке судимость за отдельные преступления, деятельности по управлению транспортными средствами, используемыми для пассажирских перевозок в городском транспорте и такси.</w:t>
      </w:r>
    </w:p>
    <w:p w14:paraId="5CDE8A5D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 таким преступлениям отнесены умышленное причинение тяжкого вреда здоровью, грабеж, разбой и другие. </w:t>
      </w:r>
    </w:p>
    <w:p w14:paraId="606EFE81" w14:textId="77777777" w:rsid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Также Федеральный закон предусматривает обязанность лиц, имеющих неснятую или непогашенную судимость за совершение указанных в новой статье преступлений, при поступлении на работу предъявлять работодателю оригинал или заверенную копию документа о наличии (отсутствии) судимости или факта уголовного преследования либо о прекращении уголовного преследования по реабилитирующим основаниям. Кроме того, вводится </w:t>
      </w: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обязанность работодателя по отстранению от работы (не допуску к работе) таких работников на весь период производства по уголовному делу до его прекращения либо до вступления в силу приговора суда.</w:t>
      </w:r>
    </w:p>
    <w:p w14:paraId="20C0BF7D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231C6D2" w14:textId="77777777" w:rsid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Усилена ответственность за самовольное проникновение на охраняемый объект</w:t>
      </w:r>
    </w:p>
    <w:p w14:paraId="277749EC" w14:textId="77777777" w:rsidR="00297F6A" w:rsidRP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659D904A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Внесены изменения</w:t>
      </w:r>
      <w:hyperlink r:id="rId4" w:history="1">
        <w:r w:rsidRPr="00297F6A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u w:val="single"/>
            <w:lang w:eastAsia="ru-RU"/>
            <w14:ligatures w14:val="none"/>
          </w:rPr>
          <w:t> в Кодекс Российской Федерации об административных правонарушениях</w:t>
        </w:r>
      </w:hyperlink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, которыми у</w:t>
      </w: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силена административная ответственность за самовольное проникновение:</w:t>
      </w:r>
    </w:p>
    <w:p w14:paraId="68B54358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на охраняемый объект войск нацгвардии, МЧС, СВР, ФСБ, МВД, УИС, объекты, отнесенные к ведению ФОИВ в сфере мобилизационной подготовки и мобилизации;</w:t>
      </w:r>
    </w:p>
    <w:p w14:paraId="0CE5665B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на охраняемый объект Вооруженных Сил РФ, объект, защита которого возложена на органы госохраны, подземный или подводный объект, охраняемый ведомственной охраной, объект ТЭК, которому присвоена категория опасности, либо на важный </w:t>
      </w:r>
      <w:proofErr w:type="spellStart"/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гособъект</w:t>
      </w:r>
      <w:proofErr w:type="spellEnd"/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сооружение на коммуникациях, к спецгрузу, которые охраняются войсками нацгвардии, если это действие не содержит признаков уголовно наказуемого деяния.</w:t>
      </w:r>
    </w:p>
    <w:p w14:paraId="57946D4D" w14:textId="77777777" w:rsid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первом случае назначается штраф от 5 тыс. до 10 тыс. руб., или обязательные работы на срок от 40 до 60 часов, или административный арест на срок до 10 суток. Во втором - штраф от 75 тыс. до 200 тыс. руб., или обязательные работы от 60 до 120 часов, или административный арест до 15 суток. Возможна конфискация орудия совершения административного правонарушения.</w:t>
      </w:r>
    </w:p>
    <w:p w14:paraId="22DAC493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68E513E" w14:textId="77777777" w:rsid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Ответственность за неуважение к суду</w:t>
      </w:r>
    </w:p>
    <w:p w14:paraId="3F15EEEA" w14:textId="77777777" w:rsidR="00297F6A" w:rsidRP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2DEE0E0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Статьей 297 Уголовного кодекса РФ предусмотрена 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правосудия.</w:t>
      </w:r>
    </w:p>
    <w:p w14:paraId="6B65F386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 положениям указанной нормы уголовного закона, под оскорблением понимаются неприличные высказывания, действия, жесты, направленные на унижение чести и достоинства участников судебного разбирательства, а также подрыв авторитета судебной власти.</w:t>
      </w:r>
    </w:p>
    <w:p w14:paraId="413C4926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14:paraId="40CF1F2E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Потерпевшим по такому преступлению может быть любой участник судебного разбирательства: прокурор, защитник, подсудимый, потерпевший, истец, ответчик, третьи лица, их представители, эксперт, свидетель, переводчик и др.</w:t>
      </w:r>
    </w:p>
    <w:p w14:paraId="64EC0286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Совершение указанного преступления наказывается штрафом до 80 тыс. рублей или в размере заработной платы или иного дохода осуждённого за </w:t>
      </w: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период до 6 месяцев, либо обязательными работами на срок до 480 часов, либо арестом на срок до 4 месяцев.</w:t>
      </w:r>
    </w:p>
    <w:p w14:paraId="4D29AE36" w14:textId="77777777" w:rsid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потерпевшим является судья, присяжный заседатель или иное лицо, участвующее в отправлении правосудия, то часть 2 статьи 297 УК РФ предусматривает возможность назначения наказания в виде штрафа до 200 тыс. рублей или в размере заработной платы или иного дохода осуждённого за период до 18 месяцев, либо обязательных работ на срок до 480 часов, либо исправительных работ на срок до 2 лет, либо ареста на срок до 6 месяцев.</w:t>
      </w:r>
    </w:p>
    <w:p w14:paraId="618D2A08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E1F6C72" w14:textId="77777777" w:rsidR="00297F6A" w:rsidRDefault="00297F6A" w:rsidP="00297F6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Ответственность за неуплату административного штрафа</w:t>
      </w:r>
    </w:p>
    <w:p w14:paraId="2C175939" w14:textId="77777777" w:rsidR="00297F6A" w:rsidRPr="00297F6A" w:rsidRDefault="00297F6A" w:rsidP="00297F6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6EF11784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частью 1 статьи 20.25 КоАП РФ.</w:t>
      </w:r>
    </w:p>
    <w:p w14:paraId="322006AF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случая, когда административный штраф назначен иностранному гражданину или лицу без гражданства одновременно с административным выдворением за пределы Российской Федерации. В таких случаях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правонарушении).</w:t>
      </w:r>
    </w:p>
    <w:p w14:paraId="11AD386D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Следует учесть, что судья, орган, должностное лицо, вынесшие постановление, могут отсрочить исполнение постановления на срок до одного месяца (ст. 31.5 КоАП РФ).</w:t>
      </w:r>
    </w:p>
    <w:p w14:paraId="3D5A60B3" w14:textId="77777777" w:rsidR="00297F6A" w:rsidRDefault="00297F6A" w:rsidP="00297F6A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5DE362E5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2C213DAF" w14:textId="77777777" w:rsid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Установлена административная ответственность за реализацию лекарственных препаратов без рецепта</w:t>
      </w:r>
    </w:p>
    <w:p w14:paraId="347F6706" w14:textId="77777777" w:rsidR="00297F6A" w:rsidRP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B051D98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Внесены дополнения в Кодекс об административных правонарушениях РФ. Статья 14.4.2 КоАП РФ дополнена частью 1.1, устанавливающей административную ответственность за продажу лекарств, подлежащих предметно-количественному учету, без предъявления рецепта покупателем. </w:t>
      </w:r>
    </w:p>
    <w:p w14:paraId="2E4CFF5A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Теперь за совершение данного правонарушения (если оно не содержит признаков уголовно наказуемого деяния) будет налагаться административный штраф в следующих размерах:</w:t>
      </w:r>
    </w:p>
    <w:p w14:paraId="5AECDCD6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на должностных лиц и фармацевтических работников, которые несут ответственность наравне с должностными лицами, — от 10 000 до 20 000 </w:t>
      </w: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рублей. Также их могут дисквалифицировать на срок от шести месяцев до одного года;</w:t>
      </w:r>
    </w:p>
    <w:p w14:paraId="4BE0DFF9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- на лиц, осуществляющих предпринимательскую деятельность без образования юридического лица, — от 50 000 до 100 000 рублей;</w:t>
      </w:r>
    </w:p>
    <w:p w14:paraId="0CFD3252" w14:textId="77777777" w:rsid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- на юридических лиц — от 150 000 до 200 000 рублей.</w:t>
      </w:r>
    </w:p>
    <w:p w14:paraId="15B6DD7F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AFBDB7B" w14:textId="77777777" w:rsidR="00297F6A" w:rsidRDefault="00297F6A" w:rsidP="00297F6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Административная и уголовная ответственность за неуплату средств на содержание детей</w:t>
      </w:r>
    </w:p>
    <w:p w14:paraId="1E4BF423" w14:textId="77777777" w:rsidR="00297F6A" w:rsidRPr="00297F6A" w:rsidRDefault="00297F6A" w:rsidP="00297F6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63BD848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Статьей 5.35.1 Кодекса РФ об административных правонарушениях предусмотрена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</w:t>
      </w:r>
      <w:proofErr w:type="gramStart"/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детей,  достигших</w:t>
      </w:r>
      <w:proofErr w:type="gramEnd"/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восемнадцатилетнего возраста, в течение двух и более месяцев со дня возбуждения исполнительного производства.</w:t>
      </w:r>
    </w:p>
    <w:p w14:paraId="10E50419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Совершение данного правонарушения влечет ответственность в виде обязательных работ на срок до ста пятидесяти часов </w:t>
      </w:r>
      <w:proofErr w:type="gramStart"/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либо  административный</w:t>
      </w:r>
      <w:proofErr w:type="gramEnd"/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14:paraId="3CDAE090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случае неуплаты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а именно родителем, подвергнутым административному наказанию за аналогичное деяние, в период, когда лицо считается подвергнутым административному наказанию, виновное лицо подвергается уголовной ответственности. Уголовным кодексом РФ в статье 157 предусмотрено наказание за совершение данного преступления в виде исправительных работ на срок до одного года, либо принудительных работ на тот же срок, либо ареста на срок до трех месяцев, либо лишения свободы на срок до одного года.</w:t>
      </w:r>
    </w:p>
    <w:p w14:paraId="139B0EE7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0404828" w14:textId="77777777" w:rsid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Ответственность за необоснованный отказ в приеме на работу</w:t>
      </w:r>
    </w:p>
    <w:p w14:paraId="069E8132" w14:textId="77777777" w:rsidR="00297F6A" w:rsidRPr="00297F6A" w:rsidRDefault="00297F6A" w:rsidP="00297F6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97B40BC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со ст. 64 Трудового кодекса РФ необоснованный отказ в заключении трудового договора запрещается.</w:t>
      </w:r>
    </w:p>
    <w:p w14:paraId="486F3DAB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Прямое или косвенное ограничение прав или установление каких-либо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</w:t>
      </w: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каким-либо социальным группам, а также других обстоятельств, не связанных с деловыми качествами работников, не допускается.</w:t>
      </w:r>
    </w:p>
    <w:p w14:paraId="6E9DACFF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   Исключения составляют случаи, когда право или обязанность устанавливать такие ограничения или преимущества предусмотрены федеральными законами.</w:t>
      </w:r>
    </w:p>
    <w:p w14:paraId="3202B7B6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14:paraId="2D4E8B5F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Отказ в заключении трудового договора может быть обжалован в суд.</w:t>
      </w:r>
    </w:p>
    <w:p w14:paraId="39459594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 необоснованный отказ в заключении трудового договора работодатель может быть привлечен к административной ответственности по ч. 1 ст. 5.27 КоАП РФ (нарушение трудового законодательства). Для должностных лиц и индивидуальных предпринимателей предусмотрен штраф в размере от 1 до 5 тыс. рублей, для организации он может составлять от 30 до 50 тыс. рублей.</w:t>
      </w:r>
    </w:p>
    <w:p w14:paraId="3D880EFB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Специальная норма применяется в связи с нарушением прав инвалидов.</w:t>
      </w:r>
    </w:p>
    <w:p w14:paraId="27B38036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при наличии в организации вакантных мест по квоте инвалиду будет отказано в приеме на работу, работодатель привлекается к административной ответственности по ч. 1 ст. 5.42 КоАП РФ (неисполнение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инвалида в пределах установленной квоты).</w:t>
      </w:r>
    </w:p>
    <w:p w14:paraId="2C4A66F8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Штраф для виновного должностного лица составит от 5 до 10 тыс. рублей.</w:t>
      </w:r>
    </w:p>
    <w:p w14:paraId="3D5CF948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Статья 144.1 УК РФ предусматривает ответственность за отказ в приеме на работу лица предпенсионного возраста по мотиву достижения им такого возраста либо необоснованное увольнение такого лица.</w:t>
      </w:r>
    </w:p>
    <w:p w14:paraId="32D41A0C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Уголовная ответственность может наступить за необоснованный отказ в приеме на работу или необоснованное увольнение женщины по мотивам ее беременности или наличия детей в возрасте до 3 лет (ст. 145 УК РФ).</w:t>
      </w:r>
    </w:p>
    <w:p w14:paraId="0DF7FE80" w14:textId="77777777" w:rsidR="00297F6A" w:rsidRPr="00297F6A" w:rsidRDefault="00297F6A" w:rsidP="00297F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Санкциями </w:t>
      </w:r>
      <w:proofErr w:type="spellStart"/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ст.ст</w:t>
      </w:r>
      <w:proofErr w:type="spellEnd"/>
      <w:r w:rsidRPr="00297F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144.1, 145 УК РФ предусмотрены наказания в виде: штрафа в размере до 200 тыс. рублей или в размере заработной платы или иного дохода осужденного за период до 18 месяцев; обязательных работ на срок до 360 часов.</w:t>
      </w:r>
    </w:p>
    <w:p w14:paraId="50EAC4EC" w14:textId="77777777" w:rsidR="00297F6A" w:rsidRPr="00297F6A" w:rsidRDefault="00297F6A" w:rsidP="00297F6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AA5A475" w14:textId="77777777" w:rsidR="00297F6A" w:rsidRPr="00297F6A" w:rsidRDefault="00297F6A" w:rsidP="00297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B6A55" w:rsidRPr="0029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A"/>
    <w:rsid w:val="00097768"/>
    <w:rsid w:val="00297F6A"/>
    <w:rsid w:val="005C345C"/>
    <w:rsid w:val="00A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33D"/>
  <w15:chartTrackingRefBased/>
  <w15:docId w15:val="{B7C6B34F-A9ED-4E86-AB41-5FE49B7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97F6A"/>
  </w:style>
  <w:style w:type="character" w:customStyle="1" w:styleId="feeds-pagenavigationtooltip">
    <w:name w:val="feeds-page__navigation_tooltip"/>
    <w:basedOn w:val="a0"/>
    <w:rsid w:val="00297F6A"/>
  </w:style>
  <w:style w:type="paragraph" w:styleId="a3">
    <w:name w:val="Normal (Web)"/>
    <w:basedOn w:val="a"/>
    <w:uiPriority w:val="99"/>
    <w:semiHidden/>
    <w:unhideWhenUsed/>
    <w:rsid w:val="0029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29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97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78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0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7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8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6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8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4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5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4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619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Мирзоян Мария</dc:creator>
  <cp:keywords/>
  <dc:description/>
  <cp:lastModifiedBy>Мирзоян Мария</cp:lastModifiedBy>
  <cp:revision>1</cp:revision>
  <dcterms:created xsi:type="dcterms:W3CDTF">2023-12-27T23:31:00Z</dcterms:created>
  <dcterms:modified xsi:type="dcterms:W3CDTF">2023-12-27T23:36:00Z</dcterms:modified>
</cp:coreProperties>
</file>